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707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15</w:t>
      </w:r>
      <w:r>
        <w:rPr>
          <w:rFonts w:hint="eastAsia" w:ascii="Arial" w:hAnsi="Arial" w:cs="Arial"/>
          <w:b/>
          <w:lang w:val="en-US" w:eastAsia="zh-CN"/>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506423</w:t>
      </w:r>
      <w:bookmarkStart w:id="8" w:name="_GoBack"/>
      <w:bookmarkEnd w:id="8"/>
    </w:p>
    <w:p w14:paraId="602E3476">
      <w:pPr>
        <w:pStyle w:val="18"/>
        <w:tabs>
          <w:tab w:val="right" w:pos="9781"/>
          <w:tab w:val="right" w:pos="13323"/>
          <w:tab w:val="clear" w:pos="4153"/>
          <w:tab w:val="clear" w:pos="8306"/>
        </w:tabs>
        <w:spacing w:before="60" w:after="60"/>
        <w:outlineLvl w:val="0"/>
        <w:rPr>
          <w:b/>
          <w:sz w:val="22"/>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p w14:paraId="019B4445">
      <w:pPr>
        <w:tabs>
          <w:tab w:val="left" w:pos="1765"/>
          <w:tab w:val="center" w:pos="4557"/>
        </w:tabs>
        <w:rPr>
          <w:b/>
          <w:sz w:val="22"/>
        </w:rPr>
      </w:pPr>
    </w:p>
    <w:p w14:paraId="3B2ACF49">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7.27.3.2</w:t>
      </w:r>
    </w:p>
    <w:p w14:paraId="717C0F0D">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14:paraId="69E5E1E4">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Discussion on RRM requirement of signal adaptation for NES enhancement</w:t>
      </w:r>
    </w:p>
    <w:bookmarkEnd w:id="3"/>
    <w:bookmarkEnd w:id="4"/>
    <w:p w14:paraId="7BD7B317">
      <w:pPr>
        <w:tabs>
          <w:tab w:val="left" w:pos="1765"/>
        </w:tabs>
        <w:rPr>
          <w:sz w:val="22"/>
        </w:rPr>
      </w:pPr>
      <w:r>
        <w:rPr>
          <w:b/>
          <w:sz w:val="22"/>
        </w:rPr>
        <w:t>Document for:</w:t>
      </w:r>
      <w:r>
        <w:rPr>
          <w:b/>
          <w:sz w:val="22"/>
        </w:rPr>
        <w:tab/>
      </w:r>
      <w:r>
        <w:rPr>
          <w:sz w:val="22"/>
        </w:rPr>
        <w:t>Discussion</w:t>
      </w:r>
    </w:p>
    <w:p w14:paraId="745B317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44ED94C">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SSB signal adaptation related issues, agreements and open issues have been approved in the WF [1]. In this paper, we further discuss open issues, and identify RAN4 impacts according to the progress of other working group.</w:t>
      </w:r>
    </w:p>
    <w:p w14:paraId="3C73F735">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Discussion</w:t>
      </w:r>
    </w:p>
    <w:p w14:paraId="43F094C4">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b/>
          <w:i/>
          <w:iCs/>
          <w:sz w:val="20"/>
          <w:szCs w:val="20"/>
          <w:u w:val="single"/>
          <w:lang w:eastAsia="ko-KR"/>
        </w:rPr>
      </w:pPr>
      <w:r>
        <w:rPr>
          <w:rFonts w:hint="default" w:ascii="Times New Roman" w:hAnsi="Times New Roman" w:cs="Times New Roman"/>
          <w:b/>
          <w:i/>
          <w:iCs/>
          <w:sz w:val="20"/>
          <w:szCs w:val="20"/>
          <w:u w:val="single"/>
          <w:lang w:eastAsia="ko-KR"/>
        </w:rPr>
        <w:t>Issue 1-2-1: L1 requirements at transition</w:t>
      </w:r>
    </w:p>
    <w:p w14:paraId="6DF8A8E8">
      <w:pPr>
        <w:keepNext w:val="0"/>
        <w:keepLines w:val="0"/>
        <w:pageBreakBefore w:val="0"/>
        <w:widowControl/>
        <w:kinsoku/>
        <w:wordWrap/>
        <w:overflowPunct/>
        <w:topLinePunct w:val="0"/>
        <w:autoSpaceDE/>
        <w:autoSpaceDN/>
        <w:bidi w:val="0"/>
        <w:adjustRightInd/>
        <w:spacing w:before="60" w:after="60"/>
        <w:textAlignment w:val="auto"/>
        <w:rPr>
          <w:rFonts w:hint="default" w:ascii="Times New Roman" w:hAnsi="Times New Roman" w:cs="Times New Roman"/>
          <w:i/>
          <w:iCs/>
          <w:color w:val="000000" w:themeColor="text1"/>
          <w:sz w:val="20"/>
          <w:szCs w:val="20"/>
          <w:lang w:eastAsia="zh-CN"/>
        </w:rPr>
      </w:pPr>
      <w:r>
        <w:rPr>
          <w:rFonts w:hint="default" w:ascii="Times New Roman" w:hAnsi="Times New Roman" w:cs="Times New Roman"/>
          <w:b/>
          <w:bCs/>
          <w:i/>
          <w:iCs/>
          <w:color w:val="000000" w:themeColor="text1"/>
          <w:sz w:val="20"/>
          <w:szCs w:val="20"/>
          <w:highlight w:val="green"/>
          <w:lang w:eastAsia="zh-CN"/>
        </w:rPr>
        <w:t>Agreement</w:t>
      </w:r>
    </w:p>
    <w:p w14:paraId="7774C5D0">
      <w:pPr>
        <w:pStyle w:val="76"/>
        <w:keepNext w:val="0"/>
        <w:keepLines w:val="0"/>
        <w:pageBreakBefore w:val="0"/>
        <w:widowControl/>
        <w:numPr>
          <w:ilvl w:val="1"/>
          <w:numId w:val="5"/>
        </w:numPr>
        <w:kinsoku/>
        <w:wordWrap/>
        <w:overflowPunct/>
        <w:topLinePunct w:val="0"/>
        <w:autoSpaceDE/>
        <w:autoSpaceDN/>
        <w:bidi w:val="0"/>
        <w:adjustRightInd/>
        <w:spacing w:before="60" w:after="60"/>
        <w:ind w:firstLineChars="0"/>
        <w:textAlignment w:val="auto"/>
        <w:rPr>
          <w:rFonts w:hint="default" w:ascii="Times New Roman" w:hAnsi="Times New Roman" w:eastAsia="宋体" w:cs="Times New Roman"/>
          <w:i/>
          <w:iCs/>
          <w:sz w:val="20"/>
          <w:szCs w:val="20"/>
          <w:lang w:eastAsia="zh-CN"/>
        </w:rPr>
      </w:pPr>
      <w:r>
        <w:rPr>
          <w:rFonts w:hint="default" w:ascii="Times New Roman" w:hAnsi="Times New Roman" w:eastAsia="宋体" w:cs="Times New Roman"/>
          <w:i/>
          <w:iCs/>
          <w:sz w:val="20"/>
          <w:szCs w:val="20"/>
          <w:lang w:eastAsia="zh-CN"/>
        </w:rPr>
        <w:t xml:space="preserve">RAN4 FFS how to define </w:t>
      </w:r>
      <w:r>
        <w:rPr>
          <w:rFonts w:hint="default" w:ascii="Times New Roman" w:hAnsi="Times New Roman" w:cs="Times New Roman"/>
          <w:i/>
          <w:iCs/>
          <w:sz w:val="20"/>
          <w:szCs w:val="20"/>
          <w:lang w:eastAsia="zh-CN"/>
        </w:rPr>
        <w:t>T</w:t>
      </w:r>
      <w:r>
        <w:rPr>
          <w:rFonts w:hint="default" w:ascii="Times New Roman" w:hAnsi="Times New Roman" w:cs="Times New Roman"/>
          <w:i/>
          <w:iCs/>
          <w:sz w:val="20"/>
          <w:szCs w:val="20"/>
          <w:vertAlign w:val="subscript"/>
          <w:lang w:eastAsia="zh-CN"/>
        </w:rPr>
        <w:t>first_SSB</w:t>
      </w:r>
      <w:r>
        <w:rPr>
          <w:rFonts w:hint="default" w:ascii="Times New Roman" w:hAnsi="Times New Roman" w:cs="Times New Roman"/>
          <w:i/>
          <w:iCs/>
          <w:sz w:val="20"/>
          <w:szCs w:val="20"/>
          <w:lang w:eastAsia="zh-CN"/>
        </w:rPr>
        <w:t xml:space="preserve"> considering the processing/preparation time based on further RAN1/2 progress on SSB adaptation command timeline.</w:t>
      </w:r>
    </w:p>
    <w:p w14:paraId="55D5B9C4">
      <w:pPr>
        <w:pStyle w:val="76"/>
        <w:keepNext w:val="0"/>
        <w:keepLines w:val="0"/>
        <w:pageBreakBefore w:val="0"/>
        <w:widowControl/>
        <w:numPr>
          <w:ilvl w:val="1"/>
          <w:numId w:val="5"/>
        </w:numPr>
        <w:kinsoku/>
        <w:wordWrap/>
        <w:overflowPunct/>
        <w:topLinePunct w:val="0"/>
        <w:autoSpaceDE/>
        <w:autoSpaceDN/>
        <w:bidi w:val="0"/>
        <w:adjustRightInd/>
        <w:spacing w:before="60" w:after="60"/>
        <w:ind w:firstLineChars="0"/>
        <w:textAlignment w:val="auto"/>
        <w:rPr>
          <w:rFonts w:hint="default" w:ascii="Times New Roman" w:hAnsi="Times New Roman" w:eastAsia="宋体" w:cs="Times New Roman"/>
          <w:i/>
          <w:iCs/>
          <w:sz w:val="20"/>
          <w:szCs w:val="20"/>
          <w:lang w:eastAsia="zh-CN"/>
        </w:rPr>
      </w:pPr>
      <w:r>
        <w:rPr>
          <w:rFonts w:hint="default" w:ascii="Times New Roman" w:hAnsi="Times New Roman" w:eastAsia="宋体" w:cs="Times New Roman"/>
          <w:i/>
          <w:iCs/>
          <w:sz w:val="20"/>
          <w:szCs w:val="20"/>
          <w:lang w:eastAsia="zh-CN"/>
        </w:rPr>
        <w:t>No impacts on section 9.5.3 of L1 reporting requirements due to SSB adaptation, unless identified by other WGs.</w:t>
      </w:r>
    </w:p>
    <w:p w14:paraId="4712138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sz w:val="20"/>
          <w:szCs w:val="20"/>
          <w:u w:val="single"/>
          <w:lang w:val="en-US" w:eastAsia="zh-CN"/>
        </w:rPr>
      </w:pPr>
      <w:r>
        <w:rPr>
          <w:rFonts w:hint="default" w:ascii="Times New Roman" w:hAnsi="Times New Roman" w:eastAsia="宋体" w:cs="Times New Roman"/>
          <w:b/>
          <w:i/>
          <w:iCs/>
          <w:sz w:val="20"/>
          <w:szCs w:val="20"/>
          <w:highlight w:val="green"/>
          <w:u w:val="single"/>
          <w:lang w:val="en-US" w:eastAsia="zh-CN"/>
        </w:rPr>
        <w:t>Agreement from RAN1#120</w:t>
      </w:r>
    </w:p>
    <w:p w14:paraId="543F1946">
      <w:pPr>
        <w:keepNext w:val="0"/>
        <w:keepLines w:val="0"/>
        <w:pageBreakBefore w:val="0"/>
        <w:widowControl/>
        <w:kinsoku/>
        <w:wordWrap/>
        <w:overflowPunct/>
        <w:topLinePunct w:val="0"/>
        <w:autoSpaceDE/>
        <w:autoSpaceDN/>
        <w:bidi w:val="0"/>
        <w:adjustRightInd/>
        <w:spacing w:before="60" w:after="6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For adaptation of SSB in time-domain, for adapting SSB burst periodicity for an SCell</w:t>
      </w:r>
    </w:p>
    <w:p w14:paraId="0563338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sz w:val="20"/>
          <w:szCs w:val="20"/>
          <w:u w:val="single"/>
          <w:lang w:val="en-US" w:eastAsia="zh-CN"/>
        </w:rPr>
      </w:pPr>
      <w:r>
        <w:rPr>
          <w:rFonts w:hint="default" w:ascii="Times New Roman" w:hAnsi="Times New Roman" w:cs="Times New Roman"/>
          <w:i/>
          <w:iCs/>
          <w:sz w:val="20"/>
          <w:szCs w:val="20"/>
        </w:rPr>
        <w:t>Support group common DCI signalling for switching the SSB burst periodicity using DCI format 2_9 with [cellDTRX-RNTI]</w:t>
      </w:r>
    </w:p>
    <w:p w14:paraId="122BE05D">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sz w:val="20"/>
          <w:szCs w:val="20"/>
          <w:u w:val="single"/>
          <w:lang w:val="en-US" w:eastAsia="zh-CN"/>
        </w:rPr>
      </w:pPr>
      <w:r>
        <w:rPr>
          <w:rFonts w:hint="default" w:ascii="Times New Roman" w:hAnsi="Times New Roman" w:eastAsia="宋体" w:cs="Times New Roman"/>
          <w:b/>
          <w:i/>
          <w:iCs/>
          <w:sz w:val="20"/>
          <w:szCs w:val="20"/>
          <w:highlight w:val="green"/>
          <w:u w:val="single"/>
          <w:lang w:val="en-US" w:eastAsia="zh-CN"/>
        </w:rPr>
        <w:t>Agreement from RAN2#129bis</w:t>
      </w:r>
    </w:p>
    <w:p w14:paraId="19FA3665">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sz w:val="20"/>
          <w:szCs w:val="20"/>
          <w:u w:val="single"/>
          <w:lang w:val="en-US" w:eastAsia="zh-CN"/>
        </w:rPr>
      </w:pPr>
      <w:r>
        <w:rPr>
          <w:rFonts w:hint="default" w:ascii="Times New Roman" w:hAnsi="Times New Roman" w:eastAsia="Malgun Gothic" w:cs="Times New Roman"/>
          <w:i/>
          <w:iCs/>
          <w:sz w:val="20"/>
          <w:szCs w:val="20"/>
          <w:lang w:eastAsia="ko-KR"/>
        </w:rPr>
        <w:t>Not support MAC CE based signalling to indicate SSB adaptation in addition to DCI agreed in RAN1</w:t>
      </w:r>
    </w:p>
    <w:p w14:paraId="5436666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Based on the RAN1/2 progress, only DCI 2-9 will be used to indicate SSB periodicity adaptation. Therefore, T</w:t>
      </w:r>
      <w:r>
        <w:rPr>
          <w:rFonts w:hint="eastAsia"/>
          <w:sz w:val="20"/>
          <w:szCs w:val="20"/>
          <w:vertAlign w:val="subscript"/>
          <w:lang w:val="en-US" w:eastAsia="zh-CN"/>
        </w:rPr>
        <w:t>first_SSB</w:t>
      </w:r>
      <w:r>
        <w:rPr>
          <w:rFonts w:hint="eastAsia"/>
          <w:sz w:val="20"/>
          <w:szCs w:val="20"/>
          <w:lang w:val="en-US" w:eastAsia="zh-CN"/>
        </w:rPr>
        <w:t xml:space="preserve"> could further consider the DCI 2-9 processing time.</w:t>
      </w:r>
    </w:p>
    <w:p w14:paraId="2F52C8F7">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hAnsi="Cambria Math" w:eastAsia="宋体"/>
          <w:b/>
          <w:bCs/>
          <w:i/>
          <w:iCs/>
          <w:sz w:val="20"/>
          <w:szCs w:val="20"/>
          <w:lang w:val="en-US" w:eastAsia="zh-CN"/>
        </w:rPr>
      </w:pPr>
      <w:r>
        <w:rPr>
          <w:rFonts w:hint="eastAsia"/>
          <w:b/>
          <w:bCs/>
          <w:i/>
          <w:iCs/>
          <w:sz w:val="20"/>
          <w:szCs w:val="20"/>
          <w:lang w:val="en-US" w:eastAsia="zh-CN"/>
        </w:rPr>
        <w:t>Proposal 1: DCI 2-9 processing time can be further considered in T</w:t>
      </w:r>
      <w:r>
        <w:rPr>
          <w:rFonts w:hint="eastAsia"/>
          <w:b/>
          <w:bCs/>
          <w:i/>
          <w:iCs/>
          <w:sz w:val="20"/>
          <w:szCs w:val="20"/>
          <w:vertAlign w:val="subscript"/>
          <w:lang w:val="en-US" w:eastAsia="zh-CN"/>
        </w:rPr>
        <w:t>first_SSB</w:t>
      </w:r>
      <w:r>
        <w:rPr>
          <w:rFonts w:hint="eastAsia"/>
          <w:b/>
          <w:bCs/>
          <w:i/>
          <w:iCs/>
          <w:sz w:val="20"/>
          <w:szCs w:val="20"/>
          <w:lang w:val="en-US" w:eastAsia="zh-CN"/>
        </w:rPr>
        <w:t>.</w:t>
      </w:r>
    </w:p>
    <w:p w14:paraId="02130230">
      <w:pPr>
        <w:keepNext w:val="0"/>
        <w:keepLines w:val="0"/>
        <w:pageBreakBefore w:val="0"/>
        <w:widowControl/>
        <w:kinsoku/>
        <w:wordWrap/>
        <w:overflowPunct/>
        <w:topLinePunct w:val="0"/>
        <w:autoSpaceDE/>
        <w:autoSpaceDN/>
        <w:bidi w:val="0"/>
        <w:adjustRightInd/>
        <w:snapToGrid/>
        <w:spacing w:before="60" w:after="60"/>
        <w:textAlignment w:val="auto"/>
        <w:rPr>
          <w:rFonts w:eastAsia="宋体"/>
          <w:b/>
          <w:i/>
          <w:iCs/>
          <w:sz w:val="20"/>
          <w:szCs w:val="20"/>
          <w:u w:val="single"/>
          <w:lang w:val="en-GB" w:eastAsia="ko-KR"/>
        </w:rPr>
      </w:pPr>
    </w:p>
    <w:p w14:paraId="5D0CDC85">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 xml:space="preserve">Issue 1-3-1: L3 requirements for SSB adaptation </w:t>
      </w:r>
    </w:p>
    <w:p w14:paraId="1BE8A3E7">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highlight w:val="green"/>
          <w:lang w:eastAsia="zh-CN"/>
        </w:rPr>
      </w:pPr>
      <w:r>
        <w:rPr>
          <w:rFonts w:hint="eastAsia"/>
          <w:i/>
          <w:iCs/>
          <w:sz w:val="20"/>
          <w:szCs w:val="20"/>
          <w:highlight w:val="green"/>
          <w:lang w:eastAsia="zh-CN"/>
        </w:rPr>
        <w:t>A</w:t>
      </w:r>
      <w:r>
        <w:rPr>
          <w:i/>
          <w:iCs/>
          <w:sz w:val="20"/>
          <w:szCs w:val="20"/>
          <w:highlight w:val="green"/>
          <w:lang w:eastAsia="zh-CN"/>
        </w:rPr>
        <w:t>greement:</w:t>
      </w:r>
    </w:p>
    <w:p w14:paraId="46E489E4">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936" w:firstLineChars="0"/>
        <w:textAlignment w:val="auto"/>
        <w:rPr>
          <w:rFonts w:eastAsia="宋体"/>
          <w:i/>
          <w:iCs/>
          <w:sz w:val="20"/>
          <w:szCs w:val="20"/>
          <w:highlight w:val="green"/>
        </w:rPr>
      </w:pPr>
      <w:r>
        <w:rPr>
          <w:rFonts w:eastAsia="宋体"/>
          <w:i/>
          <w:iCs/>
          <w:sz w:val="20"/>
          <w:szCs w:val="20"/>
          <w:highlight w:val="green"/>
        </w:rPr>
        <w:t xml:space="preserve">RAN4 to define requirements based </w:t>
      </w:r>
      <w:r>
        <w:rPr>
          <w:rFonts w:eastAsia="宋体"/>
          <w:b/>
          <w:i/>
          <w:iCs/>
          <w:sz w:val="20"/>
          <w:szCs w:val="20"/>
          <w:highlight w:val="green"/>
        </w:rPr>
        <w:t>legacy</w:t>
      </w:r>
      <w:r>
        <w:rPr>
          <w:rFonts w:eastAsia="宋体"/>
          <w:i/>
          <w:iCs/>
          <w:sz w:val="20"/>
          <w:szCs w:val="20"/>
          <w:highlight w:val="green"/>
        </w:rPr>
        <w:t xml:space="preserve"> L3 measurement framework for SSB a</w:t>
      </w:r>
      <w:r>
        <w:rPr>
          <w:rFonts w:hint="eastAsia" w:eastAsia="宋体"/>
          <w:i/>
          <w:iCs/>
          <w:sz w:val="20"/>
          <w:szCs w:val="20"/>
          <w:highlight w:val="green"/>
        </w:rPr>
        <w:t>d</w:t>
      </w:r>
      <w:r>
        <w:rPr>
          <w:rFonts w:eastAsia="宋体"/>
          <w:i/>
          <w:iCs/>
          <w:sz w:val="20"/>
          <w:szCs w:val="20"/>
          <w:highlight w:val="green"/>
        </w:rPr>
        <w:t>aptation.</w:t>
      </w:r>
    </w:p>
    <w:p w14:paraId="488AD9C7">
      <w:pPr>
        <w:pStyle w:val="76"/>
        <w:keepNext w:val="0"/>
        <w:keepLines w:val="0"/>
        <w:pageBreakBefore w:val="0"/>
        <w:widowControl/>
        <w:numPr>
          <w:ilvl w:val="2"/>
          <w:numId w:val="5"/>
        </w:numPr>
        <w:kinsoku/>
        <w:wordWrap/>
        <w:overflowPunct/>
        <w:topLinePunct w:val="0"/>
        <w:autoSpaceDE/>
        <w:autoSpaceDN/>
        <w:bidi w:val="0"/>
        <w:adjustRightInd/>
        <w:snapToGrid/>
        <w:spacing w:before="60" w:after="60"/>
        <w:ind w:left="1637" w:firstLineChars="0"/>
        <w:textAlignment w:val="auto"/>
        <w:rPr>
          <w:rFonts w:eastAsia="宋体"/>
          <w:i/>
          <w:iCs/>
          <w:sz w:val="20"/>
          <w:szCs w:val="20"/>
          <w:highlight w:val="green"/>
        </w:rPr>
      </w:pPr>
      <w:r>
        <w:rPr>
          <w:rFonts w:eastAsia="宋体"/>
          <w:i/>
          <w:iCs/>
          <w:sz w:val="20"/>
          <w:szCs w:val="20"/>
          <w:highlight w:val="green"/>
        </w:rPr>
        <w:t>For neighbour cell L3 measurement, legacy requirements apply.</w:t>
      </w:r>
    </w:p>
    <w:p w14:paraId="11D17AFE">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eastAsia="zh-CN"/>
        </w:rPr>
      </w:pPr>
      <w:r>
        <w:rPr>
          <w:i/>
          <w:iCs/>
          <w:sz w:val="20"/>
          <w:szCs w:val="20"/>
          <w:highlight w:val="yellow"/>
          <w:lang w:eastAsia="zh-CN"/>
        </w:rPr>
        <w:t>Open issue for further discuss:</w:t>
      </w:r>
    </w:p>
    <w:p w14:paraId="2C6811A1">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936" w:firstLineChars="0"/>
        <w:textAlignment w:val="auto"/>
        <w:rPr>
          <w:rFonts w:eastAsia="宋体"/>
          <w:i/>
          <w:iCs/>
          <w:sz w:val="20"/>
          <w:szCs w:val="20"/>
        </w:rPr>
      </w:pPr>
      <w:r>
        <w:rPr>
          <w:rFonts w:eastAsia="宋体"/>
          <w:i/>
          <w:iCs/>
          <w:sz w:val="20"/>
          <w:szCs w:val="20"/>
        </w:rPr>
        <w:t>For SCell with SSB adaptation (</w:t>
      </w:r>
      <w:r>
        <w:rPr>
          <w:i/>
          <w:iCs/>
          <w:sz w:val="20"/>
          <w:szCs w:val="20"/>
        </w:rPr>
        <w:t>deactivated SCell or activated SCell</w:t>
      </w:r>
      <w:r>
        <w:rPr>
          <w:rFonts w:eastAsia="宋体"/>
          <w:i/>
          <w:iCs/>
          <w:sz w:val="20"/>
          <w:szCs w:val="20"/>
        </w:rPr>
        <w:t>), wait for more RAN2 progress on additional SMTC configuration, and discuss following aspects:</w:t>
      </w:r>
    </w:p>
    <w:p w14:paraId="2F791F89">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656" w:firstLineChars="0"/>
        <w:textAlignment w:val="auto"/>
        <w:rPr>
          <w:rFonts w:eastAsia="宋体"/>
          <w:i/>
          <w:iCs/>
          <w:sz w:val="20"/>
          <w:szCs w:val="20"/>
        </w:rPr>
      </w:pPr>
      <w:r>
        <w:rPr>
          <w:rFonts w:eastAsia="宋体"/>
          <w:i/>
          <w:iCs/>
          <w:sz w:val="20"/>
          <w:szCs w:val="20"/>
        </w:rPr>
        <w:t>Whether to define L3 measurement requirement at transition.</w:t>
      </w:r>
    </w:p>
    <w:p w14:paraId="63591B26">
      <w:pPr>
        <w:keepNext w:val="0"/>
        <w:keepLines w:val="0"/>
        <w:pageBreakBefore w:val="0"/>
        <w:widowControl/>
        <w:kinsoku/>
        <w:wordWrap/>
        <w:overflowPunct/>
        <w:topLinePunct w:val="0"/>
        <w:autoSpaceDE/>
        <w:autoSpaceDN/>
        <w:bidi w:val="0"/>
        <w:adjustRightInd/>
        <w:snapToGrid/>
        <w:spacing w:before="60" w:after="60"/>
        <w:textAlignment w:val="auto"/>
        <w:rPr>
          <w:rFonts w:eastAsia="宋体"/>
          <w:i/>
          <w:iCs/>
          <w:sz w:val="20"/>
          <w:szCs w:val="20"/>
        </w:rPr>
      </w:pPr>
      <w:r>
        <w:rPr>
          <w:rFonts w:eastAsia="宋体"/>
          <w:i/>
          <w:iCs/>
          <w:sz w:val="20"/>
          <w:szCs w:val="20"/>
        </w:rPr>
        <w:t>Any other RRM requirements impacts due to additional SMTC configurations.</w:t>
      </w:r>
    </w:p>
    <w:p w14:paraId="184C9F21">
      <w:pPr>
        <w:keepNext w:val="0"/>
        <w:keepLines w:val="0"/>
        <w:pageBreakBefore w:val="0"/>
        <w:widowControl/>
        <w:kinsoku/>
        <w:wordWrap/>
        <w:overflowPunct/>
        <w:topLinePunct w:val="0"/>
        <w:autoSpaceDE/>
        <w:autoSpaceDN/>
        <w:bidi w:val="0"/>
        <w:adjustRightInd/>
        <w:snapToGrid/>
        <w:spacing w:before="60" w:after="60"/>
        <w:textAlignment w:val="auto"/>
        <w:rPr>
          <w:rFonts w:hint="default"/>
          <w:i/>
          <w:iCs/>
          <w:sz w:val="20"/>
          <w:szCs w:val="20"/>
          <w:highlight w:val="green"/>
          <w:lang w:val="en-US" w:eastAsia="zh-CN"/>
        </w:rPr>
      </w:pPr>
      <w:r>
        <w:rPr>
          <w:rFonts w:hint="eastAsia"/>
          <w:i/>
          <w:iCs/>
          <w:sz w:val="20"/>
          <w:szCs w:val="20"/>
          <w:highlight w:val="green"/>
          <w:lang w:val="en-US" w:eastAsia="zh-CN"/>
        </w:rPr>
        <w:t>Agreement from RAN2#129</w:t>
      </w:r>
    </w:p>
    <w:p w14:paraId="739F5369">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936" w:firstLineChars="0"/>
        <w:textAlignment w:val="auto"/>
        <w:rPr>
          <w:rFonts w:hint="eastAsia" w:eastAsia="宋体"/>
          <w:i/>
          <w:iCs/>
          <w:sz w:val="20"/>
          <w:szCs w:val="20"/>
          <w:highlight w:val="none"/>
          <w:lang w:val="en-US" w:eastAsia="zh-CN"/>
        </w:rPr>
      </w:pPr>
      <w:r>
        <w:rPr>
          <w:rFonts w:hint="eastAsia" w:eastAsia="宋体"/>
          <w:i/>
          <w:iCs/>
          <w:sz w:val="20"/>
          <w:szCs w:val="20"/>
          <w:highlight w:val="none"/>
          <w:lang w:val="en-US" w:eastAsia="zh-CN"/>
        </w:rPr>
        <w:t>RAN2 preference is to keep SMTC based L3 RRM framework and to introduce additional SMTC configuration according to SSB adaptation for L3 RRM measurement on SCell with SSB adaptation.</w:t>
      </w:r>
    </w:p>
    <w:p w14:paraId="518C371A">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936" w:firstLineChars="0"/>
        <w:textAlignment w:val="auto"/>
        <w:rPr>
          <w:rFonts w:hint="eastAsia" w:eastAsia="宋体"/>
          <w:i/>
          <w:iCs/>
          <w:sz w:val="20"/>
          <w:szCs w:val="20"/>
          <w:highlight w:val="none"/>
          <w:lang w:val="en-US" w:eastAsia="zh-CN"/>
        </w:rPr>
      </w:pPr>
      <w:r>
        <w:rPr>
          <w:rFonts w:hint="eastAsia" w:eastAsia="宋体"/>
          <w:i/>
          <w:iCs/>
          <w:sz w:val="20"/>
          <w:szCs w:val="20"/>
          <w:highlight w:val="none"/>
          <w:lang w:val="en-US" w:eastAsia="zh-CN"/>
        </w:rPr>
        <w:t>For L3 measurement, RAN2 assumes the adapted SSB on neighbor cell is measured based on legacy SMTC.</w:t>
      </w:r>
    </w:p>
    <w:p w14:paraId="79DEBA7D">
      <w:pPr>
        <w:keepNext w:val="0"/>
        <w:keepLines w:val="0"/>
        <w:pageBreakBefore w:val="0"/>
        <w:widowControl/>
        <w:kinsoku/>
        <w:wordWrap/>
        <w:overflowPunct/>
        <w:topLinePunct w:val="0"/>
        <w:autoSpaceDE/>
        <w:autoSpaceDN/>
        <w:bidi w:val="0"/>
        <w:adjustRightInd/>
        <w:snapToGrid/>
        <w:spacing w:before="60" w:after="60"/>
        <w:textAlignment w:val="auto"/>
        <w:rPr>
          <w:rFonts w:hint="default"/>
          <w:i/>
          <w:iCs/>
          <w:sz w:val="20"/>
          <w:szCs w:val="20"/>
          <w:highlight w:val="green"/>
          <w:lang w:val="en-US" w:eastAsia="zh-CN"/>
        </w:rPr>
      </w:pPr>
      <w:r>
        <w:rPr>
          <w:rFonts w:hint="eastAsia"/>
          <w:i/>
          <w:iCs/>
          <w:sz w:val="20"/>
          <w:szCs w:val="20"/>
          <w:highlight w:val="green"/>
          <w:lang w:val="en-US" w:eastAsia="zh-CN"/>
        </w:rPr>
        <w:t>Agreement from RAN2#129bis</w:t>
      </w:r>
    </w:p>
    <w:p w14:paraId="471AFC64">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936" w:firstLineChars="0"/>
        <w:textAlignment w:val="auto"/>
        <w:rPr>
          <w:rFonts w:hint="eastAsia" w:eastAsia="宋体"/>
          <w:i/>
          <w:iCs/>
          <w:sz w:val="20"/>
          <w:szCs w:val="20"/>
          <w:highlight w:val="none"/>
        </w:rPr>
      </w:pPr>
      <w:r>
        <w:rPr>
          <w:rFonts w:hint="eastAsia" w:eastAsia="宋体"/>
          <w:i/>
          <w:iCs/>
          <w:sz w:val="20"/>
          <w:szCs w:val="20"/>
          <w:highlight w:val="none"/>
        </w:rPr>
        <w:t>For SSB adaptation, multiple additional SMTC configurations are configured to UE via RRC, together with the mapping between SSB burst periodicity and SMTC configuration.</w:t>
      </w:r>
    </w:p>
    <w:p w14:paraId="0E310DA7">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936" w:firstLineChars="0"/>
        <w:textAlignment w:val="auto"/>
        <w:rPr>
          <w:rFonts w:hint="eastAsia" w:eastAsia="宋体"/>
          <w:i/>
          <w:iCs/>
          <w:sz w:val="20"/>
          <w:szCs w:val="20"/>
          <w:highlight w:val="none"/>
        </w:rPr>
      </w:pPr>
      <w:r>
        <w:rPr>
          <w:rFonts w:hint="eastAsia" w:eastAsia="宋体"/>
          <w:i/>
          <w:iCs/>
          <w:sz w:val="20"/>
          <w:szCs w:val="20"/>
          <w:highlight w:val="none"/>
        </w:rPr>
        <w:t>Upon reception of DCI format 2_9 for SSB burst periodicity switching, UE selects one SMTC configuration accordingly.</w:t>
      </w:r>
    </w:p>
    <w:p w14:paraId="5A81DA2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As designed by RAN2, the additional SMTC configuration is coupled with SSB burst periodicity. Upon reception of DCI 2-9, one SMTC configuration will be selected by UE according to the adapted SSB periodicity.</w:t>
      </w:r>
    </w:p>
    <w:p w14:paraId="7438E66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Then for intra-frequency measurement requirement, the delay requirement for SCell and intra-frequency neighbour cell shall be distinguished due to different SMTC may be used. A Note can be added that the accordingly adapted SMTC shall be applied for SCell upon the reception of DCI format 2-9 which indicates the SSB time-domain adaptation.</w:t>
      </w:r>
    </w:p>
    <w:p w14:paraId="041D38A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For intra-frequency measurement requirement, add one note about SMTC that the accordingly adapted SMTC shall be applied for SCell upon the reception of DCI format 2-9 which indicates the SSB time-domain adaptation.</w:t>
      </w:r>
    </w:p>
    <w:p w14:paraId="71181BC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For transition requirement, the legacy framework can be reused for SCell measurement, that when SMTC configuration changes, the cell identification and measurement period requirements apply based on the longer delay before or after the transition.</w:t>
      </w:r>
    </w:p>
    <w:p w14:paraId="4DA708F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hAnsi="Cambria Math" w:eastAsia="宋体"/>
          <w:b/>
          <w:bCs/>
          <w:i/>
          <w:iCs/>
          <w:sz w:val="20"/>
          <w:szCs w:val="20"/>
          <w:lang w:val="en-US" w:eastAsia="zh-CN"/>
        </w:rPr>
      </w:pPr>
      <w:r>
        <w:rPr>
          <w:rFonts w:hint="eastAsia"/>
          <w:b/>
          <w:bCs/>
          <w:i/>
          <w:iCs/>
          <w:sz w:val="20"/>
          <w:szCs w:val="20"/>
          <w:lang w:val="en-US" w:eastAsia="zh-CN"/>
        </w:rPr>
        <w:t>Proposal 3: For SCell L3 measurement transition requirements, reuse the legacy transition framework, that when SMTC configuration changes, the cell identification and measurement period requirements apply based on the longer delay before or after the transition.</w:t>
      </w:r>
    </w:p>
    <w:p w14:paraId="3BE6FF54">
      <w:pPr>
        <w:rPr>
          <w:rFonts w:hint="eastAsia"/>
          <w:b/>
          <w:i/>
          <w:iCs/>
          <w:sz w:val="20"/>
          <w:szCs w:val="20"/>
          <w:u w:val="single"/>
          <w:lang w:val="en-US" w:eastAsia="zh-CN"/>
        </w:rPr>
      </w:pPr>
    </w:p>
    <w:p w14:paraId="063BA171">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SCell activation requirement for SSB adaptation</w:t>
      </w:r>
    </w:p>
    <w:p w14:paraId="27E7DB30">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highlight w:val="green"/>
          <w:lang w:val="sv-SE" w:eastAsia="zh-CN"/>
        </w:rPr>
      </w:pPr>
      <w:r>
        <w:rPr>
          <w:b/>
          <w:bCs/>
          <w:i/>
          <w:iCs/>
          <w:sz w:val="20"/>
          <w:szCs w:val="20"/>
          <w:highlight w:val="green"/>
          <w:lang w:val="sv-SE" w:eastAsia="zh-CN"/>
        </w:rPr>
        <w:t>Agreement:</w:t>
      </w:r>
    </w:p>
    <w:p w14:paraId="11D10E09">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rFonts w:hint="eastAsia"/>
          <w:i/>
          <w:iCs/>
          <w:sz w:val="20"/>
          <w:szCs w:val="20"/>
          <w:lang w:val="en-US" w:eastAsia="zh-CN"/>
        </w:rPr>
        <w:t>F</w:t>
      </w:r>
      <w:r>
        <w:rPr>
          <w:i/>
          <w:iCs/>
          <w:sz w:val="20"/>
          <w:szCs w:val="20"/>
          <w:lang w:val="en-US" w:eastAsia="zh-CN"/>
        </w:rPr>
        <w:t>or SCell activation</w:t>
      </w:r>
      <w:r>
        <w:rPr>
          <w:rFonts w:hint="eastAsia"/>
          <w:i/>
          <w:iCs/>
          <w:sz w:val="20"/>
          <w:szCs w:val="20"/>
          <w:lang w:val="en-US" w:eastAsia="zh-CN"/>
        </w:rPr>
        <w:t>:</w:t>
      </w:r>
      <w:r>
        <w:rPr>
          <w:i/>
          <w:iCs/>
          <w:sz w:val="20"/>
          <w:szCs w:val="20"/>
          <w:lang w:val="en-US" w:eastAsia="zh-CN"/>
        </w:rPr>
        <w:t xml:space="preserve"> </w:t>
      </w:r>
    </w:p>
    <w:p w14:paraId="1C142525">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Define the SCell activation requirements based on the SSB periodicity after SSB adaptation.</w:t>
      </w:r>
    </w:p>
    <w:p w14:paraId="4BE1C6EB">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F</w:t>
      </w:r>
      <w:r>
        <w:rPr>
          <w:rFonts w:eastAsia="宋体"/>
          <w:i/>
          <w:iCs/>
          <w:color w:val="auto"/>
          <w:sz w:val="20"/>
          <w:szCs w:val="20"/>
          <w:lang w:val="en-US" w:eastAsia="zh-CN"/>
        </w:rPr>
        <w:t>or the case SSB adaptation command comes together with SCell activation command.</w:t>
      </w:r>
    </w:p>
    <w:p w14:paraId="2F991457">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eastAsia="宋体"/>
          <w:i/>
          <w:iCs/>
          <w:color w:val="auto"/>
          <w:sz w:val="20"/>
          <w:szCs w:val="20"/>
          <w:lang w:val="en-US" w:eastAsia="ko-KR"/>
        </w:rPr>
      </w:pPr>
      <w:r>
        <w:rPr>
          <w:rFonts w:hint="eastAsia" w:eastAsia="宋体"/>
          <w:i/>
          <w:iCs/>
          <w:color w:val="auto"/>
          <w:sz w:val="20"/>
          <w:szCs w:val="20"/>
          <w:lang w:val="en-US" w:eastAsia="zh-CN"/>
        </w:rPr>
        <w:t>The requirement c</w:t>
      </w:r>
      <w:r>
        <w:rPr>
          <w:rFonts w:eastAsia="宋体"/>
          <w:i/>
          <w:iCs/>
          <w:color w:val="auto"/>
          <w:sz w:val="20"/>
          <w:szCs w:val="20"/>
          <w:lang w:val="en-US" w:eastAsia="zh-CN"/>
        </w:rPr>
        <w:t>an be updated based on further progress in other WG</w:t>
      </w:r>
    </w:p>
    <w:p w14:paraId="7941FF51">
      <w:pPr>
        <w:keepNext w:val="0"/>
        <w:keepLines w:val="0"/>
        <w:pageBreakBefore w:val="0"/>
        <w:widowControl/>
        <w:kinsoku/>
        <w:wordWrap/>
        <w:topLinePunct w:val="0"/>
        <w:bidi w:val="0"/>
        <w:snapToGrid/>
        <w:spacing w:before="60" w:after="60"/>
        <w:rPr>
          <w:rFonts w:hint="default" w:cs="Times"/>
          <w:b/>
          <w:bCs/>
          <w:i/>
          <w:iCs/>
          <w:sz w:val="20"/>
          <w:szCs w:val="20"/>
          <w:lang w:val="en-US" w:eastAsia="zh-CN"/>
        </w:rPr>
      </w:pPr>
      <w:r>
        <w:rPr>
          <w:rFonts w:cs="Times"/>
          <w:b/>
          <w:bCs/>
          <w:i/>
          <w:iCs/>
          <w:sz w:val="20"/>
          <w:szCs w:val="20"/>
          <w:highlight w:val="green"/>
          <w:lang w:eastAsia="zh-CN"/>
        </w:rPr>
        <w:t>Agreement</w:t>
      </w:r>
      <w:r>
        <w:rPr>
          <w:rFonts w:hint="eastAsia" w:cs="Times"/>
          <w:b/>
          <w:bCs/>
          <w:i/>
          <w:iCs/>
          <w:sz w:val="20"/>
          <w:szCs w:val="20"/>
          <w:highlight w:val="green"/>
          <w:lang w:val="en-US" w:eastAsia="zh-CN"/>
        </w:rPr>
        <w:t>s from RAN1</w:t>
      </w:r>
    </w:p>
    <w:p w14:paraId="63F3DCB0">
      <w:pPr>
        <w:keepNext w:val="0"/>
        <w:keepLines w:val="0"/>
        <w:pageBreakBefore w:val="0"/>
        <w:widowControl/>
        <w:kinsoku/>
        <w:wordWrap/>
        <w:topLinePunct w:val="0"/>
        <w:bidi w:val="0"/>
        <w:snapToGrid/>
        <w:spacing w:before="60" w:after="60"/>
        <w:rPr>
          <w:rFonts w:cs="Times"/>
          <w:i/>
          <w:iCs/>
          <w:sz w:val="20"/>
          <w:szCs w:val="20"/>
        </w:rPr>
      </w:pPr>
      <w:r>
        <w:rPr>
          <w:rFonts w:cs="Times"/>
          <w:i/>
          <w:iCs/>
          <w:sz w:val="20"/>
          <w:szCs w:val="20"/>
        </w:rPr>
        <w:t>For adaptation of SSB in time-domain, support the following to adapt SSB burst periodicity for an SCell</w:t>
      </w:r>
    </w:p>
    <w:p w14:paraId="79833C07">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 xml:space="preserve">UE is configured with SSB burst periodicity using legacy signalling for the SCell </w:t>
      </w:r>
    </w:p>
    <w:p w14:paraId="4DC493A7">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UE is configured with X additional SSB burst periodicity for the SCell</w:t>
      </w:r>
    </w:p>
    <w:p w14:paraId="2AC68C6E">
      <w:pPr>
        <w:keepNext w:val="0"/>
        <w:keepLines w:val="0"/>
        <w:pageBreakBefore w:val="0"/>
        <w:widowControl/>
        <w:numPr>
          <w:ilvl w:val="1"/>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FFS: Value of X</w:t>
      </w:r>
    </w:p>
    <w:p w14:paraId="6B6CB682">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color w:val="FF0000"/>
          <w:sz w:val="20"/>
          <w:szCs w:val="20"/>
          <w:lang w:eastAsia="zh-CN"/>
        </w:rPr>
      </w:pPr>
      <w:r>
        <w:rPr>
          <w:rFonts w:cs="Times"/>
          <w:i/>
          <w:iCs/>
          <w:color w:val="FF0000"/>
          <w:sz w:val="20"/>
          <w:szCs w:val="20"/>
          <w:lang w:eastAsia="zh-CN"/>
        </w:rPr>
        <w:t>SSB occasions with larger periodicity are subset of the SSB occasions with shorter periodicity</w:t>
      </w:r>
    </w:p>
    <w:p w14:paraId="253109C3">
      <w:pPr>
        <w:keepNext w:val="0"/>
        <w:keepLines w:val="0"/>
        <w:pageBreakBefore w:val="0"/>
        <w:widowControl/>
        <w:numPr>
          <w:ilvl w:val="1"/>
          <w:numId w:val="7"/>
        </w:numPr>
        <w:kinsoku/>
        <w:wordWrap/>
        <w:overflowPunct w:val="0"/>
        <w:topLinePunct w:val="0"/>
        <w:autoSpaceDE w:val="0"/>
        <w:autoSpaceDN w:val="0"/>
        <w:bidi w:val="0"/>
        <w:adjustRightInd w:val="0"/>
        <w:snapToGrid/>
        <w:spacing w:before="60" w:after="60"/>
        <w:ind w:left="1080"/>
        <w:contextualSpacing/>
        <w:jc w:val="both"/>
        <w:textAlignment w:val="baseline"/>
        <w:rPr>
          <w:rFonts w:cs="Times"/>
          <w:i/>
          <w:iCs/>
          <w:color w:val="FF0000"/>
          <w:sz w:val="20"/>
          <w:szCs w:val="20"/>
          <w:lang w:eastAsia="zh-CN"/>
        </w:rPr>
      </w:pPr>
      <w:r>
        <w:rPr>
          <w:rFonts w:cs="Times"/>
          <w:i/>
          <w:iCs/>
          <w:color w:val="FF0000"/>
          <w:sz w:val="20"/>
          <w:szCs w:val="20"/>
          <w:lang w:eastAsia="zh-CN"/>
        </w:rPr>
        <w:t>FFS: Whether there is specification impact</w:t>
      </w:r>
    </w:p>
    <w:p w14:paraId="123363CF">
      <w:pPr>
        <w:keepNext w:val="0"/>
        <w:keepLines w:val="0"/>
        <w:pageBreakBefore w:val="0"/>
        <w:widowControl/>
        <w:numPr>
          <w:ilvl w:val="1"/>
          <w:numId w:val="7"/>
        </w:numPr>
        <w:kinsoku/>
        <w:wordWrap/>
        <w:overflowPunct w:val="0"/>
        <w:topLinePunct w:val="0"/>
        <w:autoSpaceDE w:val="0"/>
        <w:autoSpaceDN w:val="0"/>
        <w:bidi w:val="0"/>
        <w:adjustRightInd w:val="0"/>
        <w:snapToGrid/>
        <w:spacing w:before="60" w:after="60"/>
        <w:ind w:left="1080"/>
        <w:contextualSpacing/>
        <w:jc w:val="both"/>
        <w:textAlignment w:val="baseline"/>
        <w:rPr>
          <w:rFonts w:cs="Times"/>
          <w:i/>
          <w:iCs/>
          <w:color w:val="FF0000"/>
          <w:sz w:val="20"/>
          <w:szCs w:val="20"/>
          <w:lang w:eastAsia="zh-CN"/>
        </w:rPr>
      </w:pPr>
      <w:r>
        <w:rPr>
          <w:rFonts w:cs="Times"/>
          <w:i/>
          <w:iCs/>
          <w:color w:val="FF0000"/>
          <w:sz w:val="20"/>
          <w:szCs w:val="20"/>
          <w:lang w:eastAsia="zh-CN"/>
        </w:rPr>
        <w:t>Note: This does not impact the discussion on OD-SSB</w:t>
      </w:r>
    </w:p>
    <w:p w14:paraId="7DF26D11">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 xml:space="preserve">For switching the periodicity, down-select between </w:t>
      </w:r>
    </w:p>
    <w:p w14:paraId="220C6602">
      <w:pPr>
        <w:keepNext w:val="0"/>
        <w:keepLines w:val="0"/>
        <w:pageBreakBefore w:val="0"/>
        <w:widowControl/>
        <w:numPr>
          <w:ilvl w:val="1"/>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 xml:space="preserve">(MAC-CE) </w:t>
      </w:r>
    </w:p>
    <w:p w14:paraId="73A194D8">
      <w:pPr>
        <w:keepNext w:val="0"/>
        <w:keepLines w:val="0"/>
        <w:pageBreakBefore w:val="0"/>
        <w:widowControl/>
        <w:numPr>
          <w:ilvl w:val="2"/>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MAC-CE details for SSB burst periodicity adaptation is up to RAN2.</w:t>
      </w:r>
    </w:p>
    <w:p w14:paraId="2C9B1C58">
      <w:pPr>
        <w:keepNext w:val="0"/>
        <w:keepLines w:val="0"/>
        <w:pageBreakBefore w:val="0"/>
        <w:widowControl/>
        <w:numPr>
          <w:ilvl w:val="1"/>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(DCI)</w:t>
      </w:r>
    </w:p>
    <w:p w14:paraId="6E714EB0">
      <w:pPr>
        <w:keepNext w:val="0"/>
        <w:keepLines w:val="0"/>
        <w:pageBreakBefore w:val="0"/>
        <w:widowControl/>
        <w:numPr>
          <w:ilvl w:val="2"/>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Alt 1-3: DCI based signalling is used</w:t>
      </w:r>
    </w:p>
    <w:p w14:paraId="47D8EF74">
      <w:pPr>
        <w:rPr>
          <w:b/>
          <w:bCs/>
          <w:i/>
          <w:iCs/>
          <w:sz w:val="20"/>
          <w:szCs w:val="15"/>
          <w:lang w:eastAsia="zh-CN"/>
        </w:rPr>
      </w:pPr>
      <w:r>
        <w:rPr>
          <w:b/>
          <w:bCs/>
          <w:i/>
          <w:iCs/>
          <w:sz w:val="20"/>
          <w:szCs w:val="15"/>
          <w:highlight w:val="green"/>
          <w:lang w:eastAsia="zh-CN"/>
        </w:rPr>
        <w:t>Agreement</w:t>
      </w:r>
    </w:p>
    <w:p w14:paraId="68671E90">
      <w:pPr>
        <w:rPr>
          <w:rFonts w:ascii="Times New Roman" w:hAnsi="Times New Roman"/>
          <w:i/>
          <w:iCs/>
          <w:sz w:val="20"/>
          <w:szCs w:val="20"/>
        </w:rPr>
      </w:pPr>
      <w:r>
        <w:rPr>
          <w:rFonts w:ascii="Times New Roman" w:hAnsi="Times New Roman"/>
          <w:i/>
          <w:iCs/>
          <w:sz w:val="20"/>
          <w:szCs w:val="20"/>
        </w:rPr>
        <w:t>For adaptation of SSB in time-domain, for adapting SSB burst periodicity for an SCell</w:t>
      </w:r>
    </w:p>
    <w:p w14:paraId="570C69F4">
      <w:pPr>
        <w:numPr>
          <w:ilvl w:val="0"/>
          <w:numId w:val="6"/>
        </w:numPr>
        <w:overflowPunct w:val="0"/>
        <w:autoSpaceDE w:val="0"/>
        <w:autoSpaceDN w:val="0"/>
        <w:adjustRightInd w:val="0"/>
        <w:contextualSpacing/>
        <w:jc w:val="both"/>
        <w:textAlignment w:val="baseline"/>
        <w:rPr>
          <w:rFonts w:ascii="Times New Roman" w:hAnsi="Times New Roman"/>
          <w:i/>
          <w:iCs/>
          <w:sz w:val="20"/>
          <w:szCs w:val="20"/>
          <w:lang w:eastAsia="zh-CN"/>
        </w:rPr>
      </w:pPr>
      <w:r>
        <w:rPr>
          <w:rFonts w:ascii="Times New Roman" w:hAnsi="Times New Roman"/>
          <w:i/>
          <w:iCs/>
          <w:sz w:val="20"/>
          <w:szCs w:val="20"/>
          <w:lang w:eastAsia="zh-CN"/>
        </w:rPr>
        <w:t>Support group common DCI signalling for switching the SSB burst periodicity using DCI format 2_9 with [cellDTRX-RNTI]</w:t>
      </w:r>
    </w:p>
    <w:p w14:paraId="1249A836">
      <w:pPr>
        <w:numPr>
          <w:ilvl w:val="0"/>
          <w:numId w:val="6"/>
        </w:numPr>
        <w:overflowPunct w:val="0"/>
        <w:autoSpaceDE w:val="0"/>
        <w:autoSpaceDN w:val="0"/>
        <w:adjustRightInd w:val="0"/>
        <w:contextualSpacing/>
        <w:jc w:val="both"/>
        <w:textAlignment w:val="baseline"/>
        <w:rPr>
          <w:rFonts w:ascii="Times New Roman" w:hAnsi="Times New Roman"/>
          <w:i/>
          <w:iCs/>
          <w:sz w:val="20"/>
          <w:szCs w:val="20"/>
          <w:lang w:eastAsia="zh-CN"/>
        </w:rPr>
      </w:pPr>
      <w:r>
        <w:rPr>
          <w:rFonts w:ascii="Times New Roman" w:hAnsi="Times New Roman"/>
          <w:i/>
          <w:iCs/>
          <w:sz w:val="20"/>
          <w:szCs w:val="20"/>
          <w:lang w:eastAsia="zh-CN"/>
        </w:rPr>
        <w:t>FFS: which scenario(s) is this applicable for (e.g. as defined in 9.5.1)</w:t>
      </w:r>
    </w:p>
    <w:p w14:paraId="2EC6C8AE">
      <w:pPr>
        <w:overflowPunct w:val="0"/>
        <w:autoSpaceDE w:val="0"/>
        <w:autoSpaceDN w:val="0"/>
        <w:adjustRightInd w:val="0"/>
        <w:contextualSpacing/>
        <w:jc w:val="both"/>
        <w:textAlignment w:val="baseline"/>
        <w:rPr>
          <w:rFonts w:ascii="Times New Roman" w:hAnsi="Times New Roman"/>
          <w:i/>
          <w:iCs/>
          <w:sz w:val="20"/>
          <w:szCs w:val="20"/>
        </w:rPr>
      </w:pPr>
      <w:r>
        <w:rPr>
          <w:rFonts w:ascii="Times New Roman" w:hAnsi="Times New Roman"/>
          <w:i/>
          <w:iCs/>
          <w:sz w:val="20"/>
          <w:szCs w:val="20"/>
        </w:rPr>
        <w:t>Note: Above does not prevent RAN2 from designing a MAC CE based on OD-SSB feature and also used for SSB burst adaptation</w:t>
      </w:r>
    </w:p>
    <w:p w14:paraId="10BBFF77">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sz w:val="20"/>
          <w:szCs w:val="20"/>
          <w:u w:val="single"/>
          <w:lang w:val="en-US" w:eastAsia="zh-CN"/>
        </w:rPr>
      </w:pPr>
      <w:r>
        <w:rPr>
          <w:rFonts w:hint="default" w:ascii="Times New Roman" w:hAnsi="Times New Roman" w:eastAsia="宋体" w:cs="Times New Roman"/>
          <w:b/>
          <w:i/>
          <w:iCs/>
          <w:sz w:val="20"/>
          <w:szCs w:val="20"/>
          <w:highlight w:val="green"/>
          <w:u w:val="single"/>
          <w:lang w:val="en-US" w:eastAsia="zh-CN"/>
        </w:rPr>
        <w:t>Agreement from RAN2#129bis</w:t>
      </w:r>
    </w:p>
    <w:p w14:paraId="636C0D48">
      <w:pPr>
        <w:keepNext w:val="0"/>
        <w:keepLines w:val="0"/>
        <w:pageBreakBefore w:val="0"/>
        <w:widowControl/>
        <w:kinsoku/>
        <w:wordWrap/>
        <w:overflowPunct/>
        <w:topLinePunct w:val="0"/>
        <w:autoSpaceDE/>
        <w:autoSpaceDN/>
        <w:bidi w:val="0"/>
        <w:adjustRightInd/>
        <w:snapToGrid/>
        <w:spacing w:before="60" w:after="60"/>
        <w:textAlignment w:val="auto"/>
        <w:rPr>
          <w:rFonts w:ascii="Times New Roman" w:hAnsi="Times New Roman"/>
          <w:i/>
          <w:iCs/>
          <w:sz w:val="20"/>
          <w:szCs w:val="20"/>
        </w:rPr>
      </w:pPr>
      <w:r>
        <w:rPr>
          <w:rFonts w:hint="default" w:ascii="Times New Roman" w:hAnsi="Times New Roman" w:eastAsia="Malgun Gothic" w:cs="Times New Roman"/>
          <w:i/>
          <w:iCs/>
          <w:sz w:val="20"/>
          <w:szCs w:val="20"/>
          <w:lang w:eastAsia="ko-KR"/>
        </w:rPr>
        <w:t>Not support MAC CE based signalling to indicate SSB adaptation in addition to DCI agreed in RAN1</w:t>
      </w:r>
    </w:p>
    <w:p w14:paraId="34EF555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Based on the input from RAN1 and RAN2, the SSB adaptation signal can be Group common DCI, therefore, it is hard to determine that the SSB adaptation command and SCell activation command come together or not. Therefore, we propose to refine the agreement as:</w:t>
      </w:r>
    </w:p>
    <w:p w14:paraId="24944A76">
      <w:pPr>
        <w:keepNext w:val="0"/>
        <w:keepLines w:val="0"/>
        <w:pageBreakBefore w:val="0"/>
        <w:widowControl/>
        <w:kinsoku/>
        <w:wordWrap/>
        <w:overflowPunct/>
        <w:topLinePunct w:val="0"/>
        <w:autoSpaceDE/>
        <w:autoSpaceDN/>
        <w:bidi w:val="0"/>
        <w:adjustRightInd/>
        <w:snapToGrid/>
        <w:spacing w:before="60" w:after="60"/>
        <w:textAlignment w:val="auto"/>
        <w:rPr>
          <w:i w:val="0"/>
          <w:iCs w:val="0"/>
          <w:sz w:val="20"/>
          <w:szCs w:val="20"/>
          <w:lang w:val="en-US" w:eastAsia="zh-CN"/>
        </w:rPr>
      </w:pPr>
      <w:r>
        <w:rPr>
          <w:rFonts w:hint="eastAsia"/>
          <w:i w:val="0"/>
          <w:iCs w:val="0"/>
          <w:sz w:val="20"/>
          <w:szCs w:val="20"/>
          <w:lang w:val="en-US" w:eastAsia="zh-CN"/>
        </w:rPr>
        <w:t>F</w:t>
      </w:r>
      <w:r>
        <w:rPr>
          <w:i w:val="0"/>
          <w:iCs w:val="0"/>
          <w:sz w:val="20"/>
          <w:szCs w:val="20"/>
          <w:lang w:val="en-US" w:eastAsia="zh-CN"/>
        </w:rPr>
        <w:t>or SCell activation</w:t>
      </w:r>
      <w:r>
        <w:rPr>
          <w:rFonts w:hint="eastAsia"/>
          <w:i w:val="0"/>
          <w:iCs w:val="0"/>
          <w:sz w:val="20"/>
          <w:szCs w:val="20"/>
          <w:lang w:val="en-US" w:eastAsia="zh-CN"/>
        </w:rPr>
        <w:t>:</w:t>
      </w:r>
      <w:r>
        <w:rPr>
          <w:i w:val="0"/>
          <w:iCs w:val="0"/>
          <w:sz w:val="20"/>
          <w:szCs w:val="20"/>
          <w:lang w:val="en-US" w:eastAsia="zh-CN"/>
        </w:rPr>
        <w:t xml:space="preserve"> </w:t>
      </w:r>
    </w:p>
    <w:p w14:paraId="2758543B">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val="0"/>
          <w:iCs w:val="0"/>
          <w:color w:val="auto"/>
          <w:sz w:val="20"/>
          <w:szCs w:val="20"/>
          <w:lang w:val="en-US" w:eastAsia="zh-CN"/>
        </w:rPr>
      </w:pPr>
      <w:r>
        <w:rPr>
          <w:rFonts w:eastAsia="宋体"/>
          <w:i w:val="0"/>
          <w:iCs w:val="0"/>
          <w:color w:val="auto"/>
          <w:sz w:val="20"/>
          <w:szCs w:val="20"/>
          <w:lang w:val="en-US" w:eastAsia="zh-CN"/>
        </w:rPr>
        <w:t>Define the SCell activation requirements based on the SSB periodicity after SSB adaptation.</w:t>
      </w:r>
    </w:p>
    <w:p w14:paraId="79D07A63">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For the case SSB adaptation command comes not later than with SCell activation command</w:t>
      </w:r>
    </w:p>
    <w:p w14:paraId="735CC49D">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bCs/>
          <w:i/>
          <w:iCs/>
          <w:sz w:val="20"/>
          <w:szCs w:val="20"/>
          <w:lang w:val="en-US" w:eastAsia="zh-CN"/>
        </w:rPr>
      </w:pPr>
      <w:r>
        <w:rPr>
          <w:rFonts w:hint="eastAsia"/>
          <w:b/>
          <w:bCs/>
          <w:i/>
          <w:iCs/>
          <w:sz w:val="20"/>
          <w:szCs w:val="20"/>
          <w:lang w:val="en-US" w:eastAsia="zh-CN"/>
        </w:rPr>
        <w:t>Proposal 4: Refine the agreement from last meeting:</w:t>
      </w:r>
    </w:p>
    <w:p w14:paraId="462D0CC6">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lang w:val="en-US" w:eastAsia="zh-CN"/>
        </w:rPr>
      </w:pPr>
      <w:r>
        <w:rPr>
          <w:rFonts w:hint="eastAsia"/>
          <w:b/>
          <w:bCs/>
          <w:i/>
          <w:iCs/>
          <w:sz w:val="20"/>
          <w:szCs w:val="20"/>
          <w:lang w:val="en-US" w:eastAsia="zh-CN"/>
        </w:rPr>
        <w:t>F</w:t>
      </w:r>
      <w:r>
        <w:rPr>
          <w:b/>
          <w:bCs/>
          <w:i/>
          <w:iCs/>
          <w:sz w:val="20"/>
          <w:szCs w:val="20"/>
          <w:lang w:val="en-US" w:eastAsia="zh-CN"/>
        </w:rPr>
        <w:t>or SCell activation</w:t>
      </w:r>
      <w:r>
        <w:rPr>
          <w:rFonts w:hint="eastAsia"/>
          <w:b/>
          <w:bCs/>
          <w:i/>
          <w:iCs/>
          <w:sz w:val="20"/>
          <w:szCs w:val="20"/>
          <w:lang w:val="en-US" w:eastAsia="zh-CN"/>
        </w:rPr>
        <w:t>:</w:t>
      </w:r>
      <w:r>
        <w:rPr>
          <w:b/>
          <w:bCs/>
          <w:i/>
          <w:iCs/>
          <w:sz w:val="20"/>
          <w:szCs w:val="20"/>
          <w:lang w:val="en-US" w:eastAsia="zh-CN"/>
        </w:rPr>
        <w:t xml:space="preserve"> </w:t>
      </w:r>
    </w:p>
    <w:p w14:paraId="65B31A7C">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b/>
          <w:bCs/>
          <w:i/>
          <w:iCs/>
          <w:color w:val="auto"/>
          <w:sz w:val="20"/>
          <w:szCs w:val="20"/>
          <w:lang w:val="en-US" w:eastAsia="zh-CN"/>
        </w:rPr>
      </w:pPr>
      <w:r>
        <w:rPr>
          <w:rFonts w:eastAsia="宋体"/>
          <w:b/>
          <w:bCs/>
          <w:i/>
          <w:iCs/>
          <w:color w:val="auto"/>
          <w:sz w:val="20"/>
          <w:szCs w:val="20"/>
          <w:lang w:val="en-US" w:eastAsia="zh-CN"/>
        </w:rPr>
        <w:t>Define the SCell activation requirements based on the SSB periodicity after SSB adaptation.</w:t>
      </w:r>
    </w:p>
    <w:p w14:paraId="46E3BD1D">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hint="default" w:eastAsia="宋体"/>
          <w:b/>
          <w:bCs/>
          <w:i/>
          <w:iCs/>
          <w:color w:val="auto"/>
          <w:sz w:val="20"/>
          <w:szCs w:val="20"/>
          <w:lang w:val="en-US" w:eastAsia="zh-CN"/>
        </w:rPr>
      </w:pPr>
      <w:r>
        <w:rPr>
          <w:rFonts w:hint="eastAsia" w:eastAsia="宋体"/>
          <w:b/>
          <w:bCs/>
          <w:i/>
          <w:iCs/>
          <w:color w:val="auto"/>
          <w:sz w:val="20"/>
          <w:szCs w:val="20"/>
          <w:lang w:val="en-US" w:eastAsia="zh-CN"/>
        </w:rPr>
        <w:t xml:space="preserve">For the case SSB adaptation command comes </w:t>
      </w:r>
      <w:r>
        <w:rPr>
          <w:rFonts w:hint="eastAsia" w:eastAsia="宋体"/>
          <w:b/>
          <w:bCs/>
          <w:i/>
          <w:iCs/>
          <w:color w:val="auto"/>
          <w:sz w:val="20"/>
          <w:szCs w:val="20"/>
          <w:u w:val="single"/>
          <w:lang w:val="en-US" w:eastAsia="zh-CN"/>
        </w:rPr>
        <w:t>not later than</w:t>
      </w:r>
      <w:r>
        <w:rPr>
          <w:rFonts w:hint="eastAsia" w:eastAsia="宋体"/>
          <w:b/>
          <w:bCs/>
          <w:i/>
          <w:iCs/>
          <w:color w:val="auto"/>
          <w:sz w:val="20"/>
          <w:szCs w:val="20"/>
          <w:lang w:val="en-US" w:eastAsia="zh-CN"/>
        </w:rPr>
        <w:t xml:space="preserve"> with SCell activation command</w:t>
      </w:r>
    </w:p>
    <w:bookmarkEnd w:id="5"/>
    <w:p w14:paraId="0F4F5B9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7D3AB0D">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Based on the discussion above, the following proposals</w:t>
      </w:r>
      <w:r>
        <w:rPr>
          <w:rFonts w:hint="eastAsia"/>
          <w:sz w:val="20"/>
          <w:szCs w:val="20"/>
          <w:lang w:val="en-US" w:eastAsia="zh-CN"/>
        </w:rPr>
        <w:t xml:space="preserve"> </w:t>
      </w:r>
      <w:r>
        <w:rPr>
          <w:sz w:val="20"/>
          <w:szCs w:val="20"/>
        </w:rPr>
        <w:t xml:space="preserve">are concluded. </w:t>
      </w:r>
      <w:bookmarkEnd w:id="6"/>
      <w:bookmarkEnd w:id="7"/>
    </w:p>
    <w:p w14:paraId="08208F7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hAnsi="Cambria Math" w:eastAsia="宋体"/>
          <w:b/>
          <w:bCs/>
          <w:i/>
          <w:iCs/>
          <w:sz w:val="20"/>
          <w:szCs w:val="20"/>
          <w:lang w:val="en-US" w:eastAsia="zh-CN"/>
        </w:rPr>
      </w:pPr>
      <w:r>
        <w:rPr>
          <w:rFonts w:hint="eastAsia"/>
          <w:b/>
          <w:bCs/>
          <w:i/>
          <w:iCs/>
          <w:sz w:val="20"/>
          <w:szCs w:val="20"/>
          <w:lang w:val="en-US" w:eastAsia="zh-CN"/>
        </w:rPr>
        <w:t>Proposal 1: DCI 2-9 processing time can be further considered in T</w:t>
      </w:r>
      <w:r>
        <w:rPr>
          <w:rFonts w:hint="eastAsia"/>
          <w:b/>
          <w:bCs/>
          <w:i/>
          <w:iCs/>
          <w:sz w:val="20"/>
          <w:szCs w:val="20"/>
          <w:vertAlign w:val="subscript"/>
          <w:lang w:val="en-US" w:eastAsia="zh-CN"/>
        </w:rPr>
        <w:t>first_SSB</w:t>
      </w:r>
      <w:r>
        <w:rPr>
          <w:rFonts w:hint="eastAsia"/>
          <w:b/>
          <w:bCs/>
          <w:i/>
          <w:iCs/>
          <w:sz w:val="20"/>
          <w:szCs w:val="20"/>
          <w:lang w:val="en-US" w:eastAsia="zh-CN"/>
        </w:rPr>
        <w:t>.</w:t>
      </w:r>
    </w:p>
    <w:p w14:paraId="01E1209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For intra-frequency measurement requirement, add one note about SMTC that the accordingly adapted SMTC shall be applied for SCell upon the reception of DCI format 2-9 which indicates the SSB time-domain adaptation.</w:t>
      </w:r>
    </w:p>
    <w:p w14:paraId="157C6E3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hAnsi="Cambria Math" w:eastAsia="宋体"/>
          <w:b/>
          <w:bCs/>
          <w:i/>
          <w:iCs/>
          <w:sz w:val="20"/>
          <w:szCs w:val="20"/>
          <w:lang w:val="en-US" w:eastAsia="zh-CN"/>
        </w:rPr>
      </w:pPr>
      <w:r>
        <w:rPr>
          <w:rFonts w:hint="eastAsia"/>
          <w:b/>
          <w:bCs/>
          <w:i/>
          <w:iCs/>
          <w:sz w:val="20"/>
          <w:szCs w:val="20"/>
          <w:lang w:val="en-US" w:eastAsia="zh-CN"/>
        </w:rPr>
        <w:t>Proposal 3: For SCell L3 measurement transition requirements, reuse the legacy transition framework, that when SMTC configuration changes, the cell identification and measurement period requirements apply based on the longer delay before or after the transition.</w:t>
      </w:r>
    </w:p>
    <w:p w14:paraId="27EA18CC">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bCs/>
          <w:i/>
          <w:iCs/>
          <w:sz w:val="20"/>
          <w:szCs w:val="20"/>
          <w:lang w:val="en-US" w:eastAsia="zh-CN"/>
        </w:rPr>
      </w:pPr>
      <w:r>
        <w:rPr>
          <w:rFonts w:hint="eastAsia"/>
          <w:b/>
          <w:bCs/>
          <w:i/>
          <w:iCs/>
          <w:sz w:val="20"/>
          <w:szCs w:val="20"/>
          <w:lang w:val="en-US" w:eastAsia="zh-CN"/>
        </w:rPr>
        <w:t>Proposal 4: Refine the agreement from last meeting:</w:t>
      </w:r>
    </w:p>
    <w:p w14:paraId="643D39A1">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lang w:val="en-US" w:eastAsia="zh-CN"/>
        </w:rPr>
      </w:pPr>
      <w:r>
        <w:rPr>
          <w:rFonts w:hint="eastAsia"/>
          <w:b/>
          <w:bCs/>
          <w:i/>
          <w:iCs/>
          <w:sz w:val="20"/>
          <w:szCs w:val="20"/>
          <w:lang w:val="en-US" w:eastAsia="zh-CN"/>
        </w:rPr>
        <w:t>F</w:t>
      </w:r>
      <w:r>
        <w:rPr>
          <w:b/>
          <w:bCs/>
          <w:i/>
          <w:iCs/>
          <w:sz w:val="20"/>
          <w:szCs w:val="20"/>
          <w:lang w:val="en-US" w:eastAsia="zh-CN"/>
        </w:rPr>
        <w:t>or SCell activation</w:t>
      </w:r>
      <w:r>
        <w:rPr>
          <w:rFonts w:hint="eastAsia"/>
          <w:b/>
          <w:bCs/>
          <w:i/>
          <w:iCs/>
          <w:sz w:val="20"/>
          <w:szCs w:val="20"/>
          <w:lang w:val="en-US" w:eastAsia="zh-CN"/>
        </w:rPr>
        <w:t>:</w:t>
      </w:r>
      <w:r>
        <w:rPr>
          <w:b/>
          <w:bCs/>
          <w:i/>
          <w:iCs/>
          <w:sz w:val="20"/>
          <w:szCs w:val="20"/>
          <w:lang w:val="en-US" w:eastAsia="zh-CN"/>
        </w:rPr>
        <w:t xml:space="preserve"> </w:t>
      </w:r>
    </w:p>
    <w:p w14:paraId="1411C1E2">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b/>
          <w:bCs/>
          <w:i/>
          <w:iCs/>
          <w:color w:val="auto"/>
          <w:sz w:val="20"/>
          <w:szCs w:val="20"/>
          <w:lang w:val="en-US" w:eastAsia="zh-CN"/>
        </w:rPr>
      </w:pPr>
      <w:r>
        <w:rPr>
          <w:rFonts w:eastAsia="宋体"/>
          <w:b/>
          <w:bCs/>
          <w:i/>
          <w:iCs/>
          <w:color w:val="auto"/>
          <w:sz w:val="20"/>
          <w:szCs w:val="20"/>
          <w:lang w:val="en-US" w:eastAsia="zh-CN"/>
        </w:rPr>
        <w:t>Define the SCell activation requirements based on the SSB periodicity after SSB adaptation.</w:t>
      </w:r>
    </w:p>
    <w:p w14:paraId="6BB68F06">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hint="default" w:eastAsia="宋体"/>
          <w:b/>
          <w:bCs/>
          <w:i/>
          <w:iCs/>
          <w:color w:val="auto"/>
          <w:sz w:val="20"/>
          <w:szCs w:val="20"/>
          <w:lang w:val="en-US" w:eastAsia="zh-CN"/>
        </w:rPr>
      </w:pPr>
      <w:r>
        <w:rPr>
          <w:rFonts w:hint="eastAsia" w:eastAsia="宋体"/>
          <w:b/>
          <w:bCs/>
          <w:i/>
          <w:iCs/>
          <w:color w:val="auto"/>
          <w:sz w:val="20"/>
          <w:szCs w:val="20"/>
          <w:lang w:val="en-US" w:eastAsia="zh-CN"/>
        </w:rPr>
        <w:t xml:space="preserve">For the case SSB adaptation command comes </w:t>
      </w:r>
      <w:r>
        <w:rPr>
          <w:rFonts w:hint="eastAsia" w:eastAsia="宋体"/>
          <w:b/>
          <w:bCs/>
          <w:i/>
          <w:iCs/>
          <w:color w:val="auto"/>
          <w:sz w:val="20"/>
          <w:szCs w:val="20"/>
          <w:u w:val="single"/>
          <w:lang w:val="en-US" w:eastAsia="zh-CN"/>
        </w:rPr>
        <w:t>not later than</w:t>
      </w:r>
      <w:r>
        <w:rPr>
          <w:rFonts w:hint="eastAsia" w:eastAsia="宋体"/>
          <w:b/>
          <w:bCs/>
          <w:i/>
          <w:iCs/>
          <w:color w:val="auto"/>
          <w:sz w:val="20"/>
          <w:szCs w:val="20"/>
          <w:lang w:val="en-US" w:eastAsia="zh-CN"/>
        </w:rPr>
        <w:t xml:space="preserve"> with SCell activation command</w:t>
      </w:r>
    </w:p>
    <w:p w14:paraId="05C3D8A4">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05EA73F">
      <w:pPr>
        <w:numPr>
          <w:ilvl w:val="0"/>
          <w:numId w:val="8"/>
        </w:numPr>
        <w:rPr>
          <w:rFonts w:hint="eastAsia"/>
          <w:sz w:val="20"/>
          <w:szCs w:val="20"/>
          <w:lang w:val="en-GB" w:eastAsia="zh-CN"/>
        </w:rPr>
      </w:pPr>
      <w:r>
        <w:rPr>
          <w:rFonts w:hint="eastAsia"/>
          <w:sz w:val="20"/>
          <w:szCs w:val="20"/>
          <w:lang w:val="en-US" w:eastAsia="zh-CN"/>
        </w:rPr>
        <w:t>R4-2504907, WF on RRM requirements for Netw_Energy_NR_enh_Part2, Huawei</w:t>
      </w:r>
    </w:p>
    <w:p w14:paraId="06E44DC3">
      <w:pPr>
        <w:numPr>
          <w:ilvl w:val="0"/>
          <w:numId w:val="0"/>
        </w:numPr>
        <w:rPr>
          <w:rFonts w:hint="eastAsia"/>
          <w:sz w:val="20"/>
          <w:szCs w:val="20"/>
          <w:lang w:val="en-GB" w:eastAsia="zh-CN"/>
        </w:rPr>
      </w:pPr>
    </w:p>
    <w:p w14:paraId="15FAE36F">
      <w:pPr>
        <w:numPr>
          <w:ilvl w:val="0"/>
          <w:numId w:val="0"/>
        </w:numPr>
        <w:rPr>
          <w:rFonts w:hint="eastAsia"/>
          <w:sz w:val="20"/>
          <w:szCs w:val="20"/>
          <w:lang w:val="en-GB" w:eastAsia="zh-CN"/>
        </w:rPr>
      </w:pPr>
    </w:p>
    <w:p w14:paraId="1A1537A6">
      <w:pPr>
        <w:numPr>
          <w:ilvl w:val="0"/>
          <w:numId w:val="0"/>
        </w:num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modern"/>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91"/>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5"/>
  </w:num>
  <w:num w:numId="3">
    <w:abstractNumId w:val="6"/>
  </w:num>
  <w:num w:numId="4">
    <w:abstractNumId w:val="2"/>
  </w:num>
  <w:num w:numId="5">
    <w:abstractNumId w:val="4"/>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5A09"/>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2811DB3"/>
    <w:rsid w:val="03F16F56"/>
    <w:rsid w:val="0434763B"/>
    <w:rsid w:val="04605FB2"/>
    <w:rsid w:val="056C0B5C"/>
    <w:rsid w:val="059B2FBB"/>
    <w:rsid w:val="05B66B2B"/>
    <w:rsid w:val="05C31792"/>
    <w:rsid w:val="05E9310D"/>
    <w:rsid w:val="05ED3B2D"/>
    <w:rsid w:val="06380D63"/>
    <w:rsid w:val="06C938D1"/>
    <w:rsid w:val="06D13BC6"/>
    <w:rsid w:val="0775691E"/>
    <w:rsid w:val="07DA1FDB"/>
    <w:rsid w:val="07E010CA"/>
    <w:rsid w:val="08966482"/>
    <w:rsid w:val="09063CAD"/>
    <w:rsid w:val="091F2183"/>
    <w:rsid w:val="09927D61"/>
    <w:rsid w:val="09DA048F"/>
    <w:rsid w:val="0A726FAB"/>
    <w:rsid w:val="0AC91636"/>
    <w:rsid w:val="0AD74098"/>
    <w:rsid w:val="0AE60031"/>
    <w:rsid w:val="0B3F7A8C"/>
    <w:rsid w:val="0B901DF3"/>
    <w:rsid w:val="0E592C66"/>
    <w:rsid w:val="0F125ACD"/>
    <w:rsid w:val="0F4030E6"/>
    <w:rsid w:val="10252A5E"/>
    <w:rsid w:val="103633B9"/>
    <w:rsid w:val="105C4837"/>
    <w:rsid w:val="11775C6E"/>
    <w:rsid w:val="125263AC"/>
    <w:rsid w:val="12F708E7"/>
    <w:rsid w:val="12FB52D6"/>
    <w:rsid w:val="13C54761"/>
    <w:rsid w:val="144F009D"/>
    <w:rsid w:val="146E158D"/>
    <w:rsid w:val="14E02C25"/>
    <w:rsid w:val="157B2E35"/>
    <w:rsid w:val="15F8258F"/>
    <w:rsid w:val="164F7B75"/>
    <w:rsid w:val="175519EF"/>
    <w:rsid w:val="17EE0B2A"/>
    <w:rsid w:val="186347A6"/>
    <w:rsid w:val="187E0711"/>
    <w:rsid w:val="18831A63"/>
    <w:rsid w:val="194C056B"/>
    <w:rsid w:val="198E3F9B"/>
    <w:rsid w:val="19977565"/>
    <w:rsid w:val="1A367ECB"/>
    <w:rsid w:val="1A5E6A80"/>
    <w:rsid w:val="1AA908A3"/>
    <w:rsid w:val="1B311BB0"/>
    <w:rsid w:val="1B81057D"/>
    <w:rsid w:val="1C2A4303"/>
    <w:rsid w:val="1C4140A3"/>
    <w:rsid w:val="1C7E3BD3"/>
    <w:rsid w:val="1CBA70AF"/>
    <w:rsid w:val="1D2B280C"/>
    <w:rsid w:val="1D5B4C92"/>
    <w:rsid w:val="1D5F76BA"/>
    <w:rsid w:val="1DE54287"/>
    <w:rsid w:val="1DF035A9"/>
    <w:rsid w:val="1EB2708E"/>
    <w:rsid w:val="1F6714C5"/>
    <w:rsid w:val="21F31B70"/>
    <w:rsid w:val="2212587A"/>
    <w:rsid w:val="22394DC0"/>
    <w:rsid w:val="2261677D"/>
    <w:rsid w:val="228710D8"/>
    <w:rsid w:val="238D325A"/>
    <w:rsid w:val="238F7F15"/>
    <w:rsid w:val="248F342A"/>
    <w:rsid w:val="2539010A"/>
    <w:rsid w:val="25C32E03"/>
    <w:rsid w:val="25EB7656"/>
    <w:rsid w:val="26455B2C"/>
    <w:rsid w:val="26C167B6"/>
    <w:rsid w:val="270D633C"/>
    <w:rsid w:val="27496E3C"/>
    <w:rsid w:val="27786ACC"/>
    <w:rsid w:val="281E7DD6"/>
    <w:rsid w:val="2884631A"/>
    <w:rsid w:val="28A67D37"/>
    <w:rsid w:val="28CB714E"/>
    <w:rsid w:val="29AF71E8"/>
    <w:rsid w:val="29DD14E4"/>
    <w:rsid w:val="29F62D53"/>
    <w:rsid w:val="2A2B6CE0"/>
    <w:rsid w:val="2A807AE4"/>
    <w:rsid w:val="2A86553C"/>
    <w:rsid w:val="2C5C2FEC"/>
    <w:rsid w:val="2C5C418D"/>
    <w:rsid w:val="2CA30CBD"/>
    <w:rsid w:val="2D202CAF"/>
    <w:rsid w:val="2D322639"/>
    <w:rsid w:val="2D921625"/>
    <w:rsid w:val="2DC659D1"/>
    <w:rsid w:val="2DD75F9C"/>
    <w:rsid w:val="2E464966"/>
    <w:rsid w:val="2E535EC2"/>
    <w:rsid w:val="2E683C59"/>
    <w:rsid w:val="2E871184"/>
    <w:rsid w:val="2F5838B9"/>
    <w:rsid w:val="2FAB5E48"/>
    <w:rsid w:val="3007171F"/>
    <w:rsid w:val="312749F9"/>
    <w:rsid w:val="328479C9"/>
    <w:rsid w:val="328A418D"/>
    <w:rsid w:val="3346489F"/>
    <w:rsid w:val="34785525"/>
    <w:rsid w:val="34F2407C"/>
    <w:rsid w:val="36164F55"/>
    <w:rsid w:val="365E056F"/>
    <w:rsid w:val="366E56BE"/>
    <w:rsid w:val="3676329D"/>
    <w:rsid w:val="37092A32"/>
    <w:rsid w:val="372F4478"/>
    <w:rsid w:val="3895132C"/>
    <w:rsid w:val="38D95D5B"/>
    <w:rsid w:val="38E4448D"/>
    <w:rsid w:val="39E43EC7"/>
    <w:rsid w:val="3A10328B"/>
    <w:rsid w:val="3A622FD7"/>
    <w:rsid w:val="3AC86875"/>
    <w:rsid w:val="3C045223"/>
    <w:rsid w:val="3C0B377F"/>
    <w:rsid w:val="3C66551A"/>
    <w:rsid w:val="3CE57EB2"/>
    <w:rsid w:val="3D3F1B31"/>
    <w:rsid w:val="3D757E60"/>
    <w:rsid w:val="3D8D382E"/>
    <w:rsid w:val="3DCE20FC"/>
    <w:rsid w:val="3E6A7347"/>
    <w:rsid w:val="3E78350E"/>
    <w:rsid w:val="3EDE44D4"/>
    <w:rsid w:val="3FCE5A5F"/>
    <w:rsid w:val="40061999"/>
    <w:rsid w:val="41766342"/>
    <w:rsid w:val="4195149B"/>
    <w:rsid w:val="419A3079"/>
    <w:rsid w:val="41A316E7"/>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077541"/>
    <w:rsid w:val="4B1E335D"/>
    <w:rsid w:val="4B920C94"/>
    <w:rsid w:val="4BD06085"/>
    <w:rsid w:val="4C5002EC"/>
    <w:rsid w:val="4CC9678E"/>
    <w:rsid w:val="4D02644B"/>
    <w:rsid w:val="4D1F0167"/>
    <w:rsid w:val="4DCA3EC3"/>
    <w:rsid w:val="4E2931CA"/>
    <w:rsid w:val="4E385321"/>
    <w:rsid w:val="4E3A6736"/>
    <w:rsid w:val="4E4D5343"/>
    <w:rsid w:val="4E6C0BC5"/>
    <w:rsid w:val="4EDF1DB1"/>
    <w:rsid w:val="4F8A27BF"/>
    <w:rsid w:val="4FAF0931"/>
    <w:rsid w:val="50104BC8"/>
    <w:rsid w:val="50406436"/>
    <w:rsid w:val="508E6F34"/>
    <w:rsid w:val="51193AF8"/>
    <w:rsid w:val="52A0321A"/>
    <w:rsid w:val="52F014E6"/>
    <w:rsid w:val="53AC779A"/>
    <w:rsid w:val="541B64BA"/>
    <w:rsid w:val="54343997"/>
    <w:rsid w:val="54A32364"/>
    <w:rsid w:val="54C75926"/>
    <w:rsid w:val="550F4C67"/>
    <w:rsid w:val="55633225"/>
    <w:rsid w:val="55855327"/>
    <w:rsid w:val="55A209EE"/>
    <w:rsid w:val="560918AE"/>
    <w:rsid w:val="56134310"/>
    <w:rsid w:val="5670596C"/>
    <w:rsid w:val="56864D16"/>
    <w:rsid w:val="57107129"/>
    <w:rsid w:val="573D7FEC"/>
    <w:rsid w:val="575F74D4"/>
    <w:rsid w:val="57761081"/>
    <w:rsid w:val="5796443F"/>
    <w:rsid w:val="57C552B8"/>
    <w:rsid w:val="58AA2F55"/>
    <w:rsid w:val="58E45E13"/>
    <w:rsid w:val="59316355"/>
    <w:rsid w:val="5A0D7524"/>
    <w:rsid w:val="5A624644"/>
    <w:rsid w:val="5A7E4F33"/>
    <w:rsid w:val="5B0372E4"/>
    <w:rsid w:val="5B1248DB"/>
    <w:rsid w:val="5B475FB3"/>
    <w:rsid w:val="5C3F0114"/>
    <w:rsid w:val="5D111C3D"/>
    <w:rsid w:val="5D52426E"/>
    <w:rsid w:val="5E19471E"/>
    <w:rsid w:val="5E2A27D6"/>
    <w:rsid w:val="5E6B3912"/>
    <w:rsid w:val="5EC475D6"/>
    <w:rsid w:val="5EFC6FEB"/>
    <w:rsid w:val="5F5D21FE"/>
    <w:rsid w:val="5FB574AB"/>
    <w:rsid w:val="5FC86F8E"/>
    <w:rsid w:val="5FD22CE7"/>
    <w:rsid w:val="60046178"/>
    <w:rsid w:val="60F65564"/>
    <w:rsid w:val="61253125"/>
    <w:rsid w:val="61A76F12"/>
    <w:rsid w:val="61F5344E"/>
    <w:rsid w:val="62DF6110"/>
    <w:rsid w:val="63792484"/>
    <w:rsid w:val="63BA7386"/>
    <w:rsid w:val="660721B4"/>
    <w:rsid w:val="667C7355"/>
    <w:rsid w:val="67591C17"/>
    <w:rsid w:val="67F33176"/>
    <w:rsid w:val="67F9721F"/>
    <w:rsid w:val="688D6724"/>
    <w:rsid w:val="6A13360C"/>
    <w:rsid w:val="6A1B0A0D"/>
    <w:rsid w:val="6A4D75E7"/>
    <w:rsid w:val="6B297D4F"/>
    <w:rsid w:val="6B8B57B2"/>
    <w:rsid w:val="6BDC7C84"/>
    <w:rsid w:val="6C3C1BF0"/>
    <w:rsid w:val="6C9A7CBE"/>
    <w:rsid w:val="6CE8143C"/>
    <w:rsid w:val="6CEC68F6"/>
    <w:rsid w:val="6D376B5F"/>
    <w:rsid w:val="6DEB4013"/>
    <w:rsid w:val="6E156513"/>
    <w:rsid w:val="6F8421CA"/>
    <w:rsid w:val="700379F2"/>
    <w:rsid w:val="70534BFD"/>
    <w:rsid w:val="714F65D4"/>
    <w:rsid w:val="71D432D4"/>
    <w:rsid w:val="71EA4F92"/>
    <w:rsid w:val="727805A8"/>
    <w:rsid w:val="72C016C8"/>
    <w:rsid w:val="738E1AE0"/>
    <w:rsid w:val="748C49C6"/>
    <w:rsid w:val="74F9640C"/>
    <w:rsid w:val="75307AD5"/>
    <w:rsid w:val="75FA3264"/>
    <w:rsid w:val="7656513E"/>
    <w:rsid w:val="767543BB"/>
    <w:rsid w:val="76A87E18"/>
    <w:rsid w:val="76B71C18"/>
    <w:rsid w:val="76C4680D"/>
    <w:rsid w:val="773853D9"/>
    <w:rsid w:val="77F5053C"/>
    <w:rsid w:val="78395B74"/>
    <w:rsid w:val="7883331E"/>
    <w:rsid w:val="78A20C1B"/>
    <w:rsid w:val="78D7305C"/>
    <w:rsid w:val="78E42393"/>
    <w:rsid w:val="79727D19"/>
    <w:rsid w:val="79951646"/>
    <w:rsid w:val="7A7535BE"/>
    <w:rsid w:val="7AD71133"/>
    <w:rsid w:val="7ADA578F"/>
    <w:rsid w:val="7B2569DF"/>
    <w:rsid w:val="7B4C0432"/>
    <w:rsid w:val="7BBB337B"/>
    <w:rsid w:val="7BC93DFF"/>
    <w:rsid w:val="7C3B4CC2"/>
    <w:rsid w:val="7DDF358F"/>
    <w:rsid w:val="7E3C3FAA"/>
    <w:rsid w:val="7E86642D"/>
    <w:rsid w:val="7F0740B3"/>
    <w:rsid w:val="7F73742C"/>
    <w:rsid w:val="7F9805A1"/>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 w:type="paragraph" w:customStyle="1" w:styleId="90">
    <w:name w:val="List Paragraph9"/>
    <w:basedOn w:val="1"/>
    <w:qFormat/>
    <w:uiPriority w:val="0"/>
    <w:pPr>
      <w:ind w:left="840" w:leftChars="400"/>
    </w:pPr>
    <w:rPr>
      <w:lang w:eastAsia="zh-CN"/>
    </w:rPr>
  </w:style>
  <w:style w:type="paragraph" w:customStyle="1" w:styleId="91">
    <w:name w:val="Agreement"/>
    <w:basedOn w:val="1"/>
    <w:next w:val="65"/>
    <w:qFormat/>
    <w:uiPriority w:val="0"/>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1416</Words>
  <Characters>8076</Characters>
  <Lines>67</Lines>
  <Paragraphs>18</Paragraphs>
  <TotalTime>16</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2025-05-09T07:17:34Z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